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9E8" w:rsidRDefault="00E359E8" w:rsidP="00E359E8">
      <w:pPr>
        <w:widowControl w:val="0"/>
        <w:tabs>
          <w:tab w:val="left" w:pos="540"/>
          <w:tab w:val="left" w:pos="1080"/>
        </w:tabs>
        <w:ind w:right="-180"/>
        <w:rPr>
          <w:rFonts w:ascii="Arial" w:hAnsi="Arial" w:cs="Arial"/>
          <w:b/>
          <w:color w:val="FF0000"/>
          <w:szCs w:val="24"/>
          <w:u w:val="single"/>
        </w:rPr>
      </w:pPr>
      <w:r w:rsidRPr="00AA1962">
        <w:rPr>
          <w:rFonts w:ascii="Arial" w:hAnsi="Arial" w:cs="Arial"/>
          <w:b/>
          <w:color w:val="FF0000"/>
          <w:szCs w:val="24"/>
          <w:u w:val="single"/>
        </w:rPr>
        <w:t xml:space="preserve">Budget </w:t>
      </w:r>
      <w:r>
        <w:rPr>
          <w:rFonts w:ascii="Arial" w:hAnsi="Arial" w:cs="Arial"/>
          <w:b/>
          <w:color w:val="FF0000"/>
          <w:szCs w:val="24"/>
          <w:u w:val="single"/>
        </w:rPr>
        <w:t>Narrative</w:t>
      </w:r>
      <w:r w:rsidRPr="00AA1962">
        <w:rPr>
          <w:rFonts w:ascii="Arial" w:hAnsi="Arial" w:cs="Arial"/>
          <w:b/>
          <w:color w:val="FF0000"/>
          <w:szCs w:val="24"/>
          <w:u w:val="single"/>
        </w:rPr>
        <w:t>:</w:t>
      </w:r>
    </w:p>
    <w:p w:rsidR="00E359E8" w:rsidRDefault="00E359E8" w:rsidP="00E359E8">
      <w:pPr>
        <w:widowControl w:val="0"/>
        <w:tabs>
          <w:tab w:val="left" w:pos="540"/>
          <w:tab w:val="left" w:pos="1080"/>
        </w:tabs>
        <w:ind w:right="-180"/>
        <w:rPr>
          <w:rFonts w:ascii="Arial" w:hAnsi="Arial" w:cs="Arial"/>
          <w:szCs w:val="24"/>
        </w:rPr>
      </w:pPr>
      <w:r>
        <w:rPr>
          <w:rFonts w:ascii="Arial" w:hAnsi="Arial" w:cs="Arial"/>
          <w:szCs w:val="24"/>
        </w:rPr>
        <w:t>As part of the Project Narrative or as an appendix, explain and justify all requested budget items identified on the budget worksheet (SF 424A or SF 424C) and costs associated with the Federal funding requested.</w:t>
      </w:r>
    </w:p>
    <w:p w:rsidR="00E359E8" w:rsidRDefault="00E359E8" w:rsidP="00E359E8">
      <w:pPr>
        <w:widowControl w:val="0"/>
        <w:tabs>
          <w:tab w:val="left" w:pos="540"/>
          <w:tab w:val="left" w:pos="1080"/>
        </w:tabs>
        <w:ind w:right="-180"/>
        <w:rPr>
          <w:rFonts w:ascii="Arial" w:hAnsi="Arial" w:cs="Arial"/>
          <w:szCs w:val="24"/>
        </w:rPr>
      </w:pPr>
    </w:p>
    <w:p w:rsidR="00E359E8" w:rsidRPr="00EF7A79" w:rsidRDefault="00E359E8" w:rsidP="00E359E8">
      <w:pPr>
        <w:widowControl w:val="0"/>
        <w:rPr>
          <w:rFonts w:ascii="Arial" w:hAnsi="Arial" w:cs="Arial"/>
          <w:szCs w:val="24"/>
        </w:rPr>
      </w:pPr>
      <w:r w:rsidRPr="00EF7A79">
        <w:rPr>
          <w:rFonts w:ascii="Arial" w:hAnsi="Arial" w:cs="Arial"/>
          <w:szCs w:val="24"/>
        </w:rPr>
        <w:t>The attached Budget Detail demonstrates the connection between costs and the proposed project activities. Project personnel costs, including base-line salaries, estimated salary adjustments and benefits are directly charged</w:t>
      </w:r>
      <w:r>
        <w:rPr>
          <w:rFonts w:ascii="Arial" w:hAnsi="Arial" w:cs="Arial"/>
          <w:szCs w:val="24"/>
        </w:rPr>
        <w:t xml:space="preserve">. </w:t>
      </w:r>
      <w:r w:rsidRPr="00EF7A79">
        <w:rPr>
          <w:rFonts w:ascii="Arial" w:hAnsi="Arial" w:cs="Arial"/>
          <w:szCs w:val="24"/>
        </w:rPr>
        <w:t>Additionally:</w:t>
      </w:r>
      <w:r>
        <w:rPr>
          <w:rFonts w:ascii="Arial" w:hAnsi="Arial" w:cs="Arial"/>
          <w:szCs w:val="24"/>
        </w:rPr>
        <w:t xml:space="preserve"> </w:t>
      </w:r>
      <w:r w:rsidRPr="00C45173">
        <w:rPr>
          <w:rFonts w:ascii="Arial" w:hAnsi="Arial" w:cs="Arial"/>
          <w:color w:val="FF0000"/>
          <w:szCs w:val="24"/>
        </w:rPr>
        <w:t xml:space="preserve">(if this grant is a pass-through, the budget details </w:t>
      </w:r>
      <w:r>
        <w:rPr>
          <w:rFonts w:ascii="Arial" w:hAnsi="Arial" w:cs="Arial"/>
          <w:color w:val="FF0000"/>
          <w:szCs w:val="24"/>
        </w:rPr>
        <w:t>must be stated</w:t>
      </w:r>
      <w:r w:rsidRPr="00C45173">
        <w:rPr>
          <w:rFonts w:ascii="Arial" w:hAnsi="Arial" w:cs="Arial"/>
          <w:color w:val="FF0000"/>
          <w:szCs w:val="24"/>
        </w:rPr>
        <w:t xml:space="preserve"> in the “external contracts” section. Other sections</w:t>
      </w:r>
      <w:r>
        <w:rPr>
          <w:rFonts w:ascii="Arial" w:hAnsi="Arial" w:cs="Arial"/>
          <w:color w:val="FF0000"/>
          <w:szCs w:val="24"/>
        </w:rPr>
        <w:t>, not including “match description”,</w:t>
      </w:r>
      <w:r w:rsidRPr="00C45173">
        <w:rPr>
          <w:rFonts w:ascii="Arial" w:hAnsi="Arial" w:cs="Arial"/>
          <w:color w:val="FF0000"/>
          <w:szCs w:val="24"/>
        </w:rPr>
        <w:t xml:space="preserve"> are for </w:t>
      </w:r>
      <w:proofErr w:type="spellStart"/>
      <w:r w:rsidRPr="00C45173">
        <w:rPr>
          <w:rFonts w:ascii="Arial" w:hAnsi="Arial" w:cs="Arial"/>
          <w:color w:val="FF0000"/>
          <w:szCs w:val="24"/>
        </w:rPr>
        <w:t>CDFW</w:t>
      </w:r>
      <w:proofErr w:type="spellEnd"/>
      <w:r w:rsidRPr="00C45173">
        <w:rPr>
          <w:rFonts w:ascii="Arial" w:hAnsi="Arial" w:cs="Arial"/>
          <w:color w:val="FF0000"/>
          <w:szCs w:val="24"/>
        </w:rPr>
        <w:t xml:space="preserve"> expenses</w:t>
      </w:r>
      <w:r>
        <w:rPr>
          <w:rFonts w:ascii="Arial" w:hAnsi="Arial" w:cs="Arial"/>
          <w:color w:val="FF0000"/>
          <w:szCs w:val="24"/>
        </w:rPr>
        <w:t xml:space="preserve"> only</w:t>
      </w:r>
      <w:r w:rsidRPr="00C45173">
        <w:rPr>
          <w:rFonts w:ascii="Arial" w:hAnsi="Arial" w:cs="Arial"/>
          <w:color w:val="FF0000"/>
          <w:szCs w:val="24"/>
        </w:rPr>
        <w:t>).</w:t>
      </w:r>
    </w:p>
    <w:p w:rsidR="00E359E8" w:rsidRDefault="00E359E8" w:rsidP="00E359E8">
      <w:pPr>
        <w:widowControl w:val="0"/>
        <w:rPr>
          <w:rFonts w:ascii="Arial" w:hAnsi="Arial" w:cs="Arial"/>
          <w:szCs w:val="24"/>
        </w:rPr>
      </w:pPr>
    </w:p>
    <w:p w:rsidR="00E359E8" w:rsidRDefault="00E359E8" w:rsidP="00E359E8">
      <w:pPr>
        <w:widowControl w:val="0"/>
        <w:rPr>
          <w:rFonts w:ascii="Arial" w:hAnsi="Arial" w:cs="Arial"/>
          <w:szCs w:val="24"/>
        </w:rPr>
      </w:pPr>
      <w:r w:rsidRPr="00FC417E">
        <w:rPr>
          <w:rFonts w:ascii="Arial" w:hAnsi="Arial" w:cs="Arial"/>
          <w:szCs w:val="24"/>
          <w:u w:val="single"/>
        </w:rPr>
        <w:t>Useful life:</w:t>
      </w:r>
      <w:r>
        <w:rPr>
          <w:rFonts w:ascii="Arial" w:hAnsi="Arial" w:cs="Arial"/>
          <w:szCs w:val="24"/>
        </w:rPr>
        <w:t xml:space="preserve"> </w:t>
      </w:r>
      <w:r>
        <w:rPr>
          <w:rFonts w:ascii="Arial" w:hAnsi="Arial" w:cs="Arial"/>
          <w:i/>
          <w:szCs w:val="24"/>
        </w:rPr>
        <w:t>If Applicable-</w:t>
      </w:r>
      <w:r>
        <w:rPr>
          <w:rFonts w:ascii="Arial" w:hAnsi="Arial" w:cs="Arial"/>
          <w:szCs w:val="24"/>
        </w:rPr>
        <w:t>Propose a useful life for each capital improvement with a value greater than $100,000, and reference the method used to determine it.</w:t>
      </w:r>
    </w:p>
    <w:p w:rsidR="00E359E8" w:rsidRDefault="00E359E8" w:rsidP="00E359E8">
      <w:pPr>
        <w:widowControl w:val="0"/>
        <w:rPr>
          <w:rFonts w:ascii="Arial" w:hAnsi="Arial" w:cs="Arial"/>
          <w:szCs w:val="24"/>
        </w:rPr>
      </w:pPr>
    </w:p>
    <w:p w:rsidR="00E359E8" w:rsidRPr="00FC417E" w:rsidRDefault="00E359E8" w:rsidP="00E359E8">
      <w:pPr>
        <w:widowControl w:val="0"/>
        <w:rPr>
          <w:rFonts w:ascii="Arial" w:hAnsi="Arial" w:cs="Arial"/>
          <w:szCs w:val="24"/>
          <w:u w:val="single"/>
        </w:rPr>
      </w:pPr>
      <w:r w:rsidRPr="00FC417E">
        <w:rPr>
          <w:rFonts w:ascii="Arial" w:hAnsi="Arial" w:cs="Arial"/>
          <w:szCs w:val="24"/>
          <w:u w:val="single"/>
        </w:rPr>
        <w:t>Program Income (if any):</w:t>
      </w:r>
    </w:p>
    <w:p w:rsidR="00E359E8" w:rsidRPr="00FC417E" w:rsidRDefault="00E359E8" w:rsidP="00E359E8">
      <w:pPr>
        <w:widowControl w:val="0"/>
        <w:rPr>
          <w:rFonts w:ascii="Arial" w:hAnsi="Arial" w:cs="Arial"/>
          <w:szCs w:val="24"/>
        </w:rPr>
      </w:pPr>
    </w:p>
    <w:p w:rsidR="00E359E8" w:rsidRPr="00EF7A79" w:rsidRDefault="00E359E8" w:rsidP="00E359E8">
      <w:pPr>
        <w:widowControl w:val="0"/>
        <w:rPr>
          <w:rFonts w:ascii="Arial" w:hAnsi="Arial" w:cs="Arial"/>
          <w:szCs w:val="24"/>
        </w:rPr>
      </w:pPr>
      <w:r w:rsidRPr="00EF7A79">
        <w:rPr>
          <w:rFonts w:ascii="Arial" w:hAnsi="Arial" w:cs="Arial"/>
          <w:szCs w:val="24"/>
          <w:u w:val="single"/>
        </w:rPr>
        <w:t>General Expenses ($):</w:t>
      </w:r>
      <w:r w:rsidRPr="00EF7A79">
        <w:rPr>
          <w:rFonts w:ascii="Arial" w:hAnsi="Arial" w:cs="Arial"/>
          <w:szCs w:val="24"/>
        </w:rPr>
        <w:t xml:space="preserve"> Items that are necessary and reasonable for the associated personnel services and project activities, which may include miscellaneous office costs and supplies, freight and drayage, advertisement, facility costs for maintenance and repairs of buildings and facilities, office and shop equipment (with a value less than $500), implements/supplies, seed, sensitive non-IT goods, and other minor expenses as incurred.</w:t>
      </w:r>
    </w:p>
    <w:p w:rsidR="00E359E8" w:rsidRPr="00EF7A79" w:rsidRDefault="00E359E8" w:rsidP="00E359E8">
      <w:pPr>
        <w:widowControl w:val="0"/>
        <w:rPr>
          <w:rFonts w:ascii="Arial" w:hAnsi="Arial" w:cs="Arial"/>
          <w:szCs w:val="24"/>
        </w:rPr>
      </w:pPr>
    </w:p>
    <w:p w:rsidR="00E359E8" w:rsidRDefault="00E359E8" w:rsidP="00E359E8">
      <w:pPr>
        <w:widowControl w:val="0"/>
        <w:rPr>
          <w:rFonts w:ascii="Arial" w:hAnsi="Arial" w:cs="Arial"/>
          <w:szCs w:val="24"/>
          <w:u w:val="single"/>
        </w:rPr>
      </w:pPr>
      <w:r w:rsidRPr="00EF7A79">
        <w:rPr>
          <w:rFonts w:ascii="Arial" w:hAnsi="Arial" w:cs="Arial"/>
          <w:szCs w:val="24"/>
          <w:u w:val="single"/>
        </w:rPr>
        <w:t>Minor Equipment ($):</w:t>
      </w:r>
    </w:p>
    <w:p w:rsidR="00E359E8" w:rsidRDefault="00E359E8" w:rsidP="00E359E8">
      <w:pPr>
        <w:widowControl w:val="0"/>
        <w:rPr>
          <w:rFonts w:ascii="Arial" w:hAnsi="Arial" w:cs="Arial"/>
          <w:szCs w:val="24"/>
          <w:u w:val="single"/>
        </w:rPr>
      </w:pPr>
    </w:p>
    <w:p w:rsidR="00E359E8" w:rsidRPr="00EF7A79" w:rsidRDefault="00E359E8" w:rsidP="00E359E8">
      <w:pPr>
        <w:widowControl w:val="0"/>
        <w:rPr>
          <w:rFonts w:ascii="Arial" w:hAnsi="Arial" w:cs="Arial"/>
          <w:szCs w:val="24"/>
          <w:u w:val="single"/>
        </w:rPr>
      </w:pPr>
      <w:r w:rsidRPr="00EF7A79">
        <w:rPr>
          <w:rFonts w:ascii="Arial" w:hAnsi="Arial" w:cs="Arial"/>
          <w:szCs w:val="24"/>
          <w:u w:val="single"/>
        </w:rPr>
        <w:t>Major Equipment ($):</w:t>
      </w:r>
    </w:p>
    <w:p w:rsidR="00E359E8" w:rsidRPr="00EF7A79" w:rsidRDefault="00E359E8" w:rsidP="00E359E8">
      <w:pPr>
        <w:widowControl w:val="0"/>
        <w:rPr>
          <w:rFonts w:ascii="Arial" w:hAnsi="Arial" w:cs="Arial"/>
          <w:szCs w:val="24"/>
        </w:rPr>
      </w:pPr>
    </w:p>
    <w:p w:rsidR="00E359E8" w:rsidRPr="00EF7A79" w:rsidRDefault="00E359E8" w:rsidP="00E359E8">
      <w:pPr>
        <w:widowControl w:val="0"/>
        <w:rPr>
          <w:rFonts w:ascii="Arial" w:hAnsi="Arial" w:cs="Arial"/>
          <w:szCs w:val="24"/>
          <w:u w:val="single"/>
        </w:rPr>
      </w:pPr>
      <w:r w:rsidRPr="00EF7A79">
        <w:rPr>
          <w:rFonts w:ascii="Arial" w:hAnsi="Arial" w:cs="Arial"/>
          <w:szCs w:val="24"/>
          <w:u w:val="single"/>
        </w:rPr>
        <w:t>Travel/Training ($):</w:t>
      </w:r>
    </w:p>
    <w:p w:rsidR="00E359E8" w:rsidRPr="00EF7A79" w:rsidRDefault="00E359E8" w:rsidP="00E359E8">
      <w:pPr>
        <w:widowControl w:val="0"/>
        <w:rPr>
          <w:rFonts w:ascii="Arial" w:hAnsi="Arial" w:cs="Arial"/>
          <w:szCs w:val="24"/>
        </w:rPr>
      </w:pPr>
    </w:p>
    <w:p w:rsidR="00E359E8" w:rsidRDefault="00E359E8" w:rsidP="00E359E8">
      <w:pPr>
        <w:widowControl w:val="0"/>
        <w:rPr>
          <w:rFonts w:ascii="Arial" w:hAnsi="Arial" w:cs="Arial"/>
          <w:szCs w:val="24"/>
          <w:u w:val="single"/>
        </w:rPr>
      </w:pPr>
      <w:r w:rsidRPr="00EF7A79">
        <w:rPr>
          <w:rFonts w:ascii="Arial" w:hAnsi="Arial" w:cs="Arial"/>
          <w:szCs w:val="24"/>
          <w:u w:val="single"/>
        </w:rPr>
        <w:t>External Contracts ($):</w:t>
      </w:r>
    </w:p>
    <w:p w:rsidR="00E359E8" w:rsidRDefault="00E359E8" w:rsidP="00E359E8">
      <w:pPr>
        <w:widowControl w:val="0"/>
        <w:rPr>
          <w:rFonts w:ascii="Arial" w:hAnsi="Arial" w:cs="Arial"/>
          <w:szCs w:val="24"/>
          <w:u w:val="single"/>
        </w:rPr>
      </w:pPr>
    </w:p>
    <w:p w:rsidR="00E359E8" w:rsidRDefault="00E359E8" w:rsidP="00E359E8">
      <w:pPr>
        <w:widowControl w:val="0"/>
        <w:rPr>
          <w:rFonts w:ascii="Arial" w:hAnsi="Arial" w:cs="Arial"/>
          <w:szCs w:val="24"/>
          <w:u w:val="single"/>
        </w:rPr>
      </w:pPr>
      <w:r>
        <w:rPr>
          <w:rFonts w:ascii="Arial" w:hAnsi="Arial" w:cs="Arial"/>
          <w:szCs w:val="24"/>
          <w:u w:val="single"/>
        </w:rPr>
        <w:t xml:space="preserve">In-Kind Match Description ($): </w:t>
      </w:r>
    </w:p>
    <w:p w:rsidR="00E359E8" w:rsidRPr="00FC417E" w:rsidRDefault="00E359E8" w:rsidP="00E359E8">
      <w:pPr>
        <w:pStyle w:val="ListParagraph"/>
        <w:widowControl w:val="0"/>
        <w:numPr>
          <w:ilvl w:val="0"/>
          <w:numId w:val="1"/>
        </w:numPr>
        <w:rPr>
          <w:rFonts w:ascii="Arial" w:hAnsi="Arial" w:cs="Arial"/>
        </w:rPr>
      </w:pPr>
      <w:r w:rsidRPr="00FC417E">
        <w:rPr>
          <w:rFonts w:ascii="Arial" w:hAnsi="Arial" w:cs="Arial"/>
        </w:rPr>
        <w:t xml:space="preserve">Include the source, the amount, and the valuation methodology used to arrive at the total. </w:t>
      </w:r>
    </w:p>
    <w:p w:rsidR="00E359E8" w:rsidRPr="00FC417E" w:rsidRDefault="00E359E8" w:rsidP="00E359E8">
      <w:pPr>
        <w:pStyle w:val="ListParagraph"/>
        <w:widowControl w:val="0"/>
        <w:numPr>
          <w:ilvl w:val="0"/>
          <w:numId w:val="1"/>
        </w:numPr>
        <w:rPr>
          <w:rFonts w:ascii="Arial" w:hAnsi="Arial" w:cs="Arial"/>
          <w:szCs w:val="24"/>
          <w:u w:val="single"/>
        </w:rPr>
      </w:pPr>
      <w:r w:rsidRPr="00FC417E">
        <w:rPr>
          <w:rFonts w:ascii="Arial" w:hAnsi="Arial" w:cs="Arial"/>
        </w:rPr>
        <w:t>If you propose to use the value of real property as all or a portion of the non</w:t>
      </w:r>
      <w:r w:rsidRPr="00FC417E">
        <w:rPr>
          <w:rFonts w:ascii="Cambria Math" w:hAnsi="Cambria Math" w:cs="Cambria Math"/>
        </w:rPr>
        <w:t>‐</w:t>
      </w:r>
      <w:r w:rsidRPr="00FC417E">
        <w:rPr>
          <w:rFonts w:ascii="Arial" w:hAnsi="Arial" w:cs="Arial"/>
        </w:rPr>
        <w:t xml:space="preserve">Federal cost share, you must include information on both (a) parcels proposed for acquisition with </w:t>
      </w:r>
      <w:proofErr w:type="spellStart"/>
      <w:r w:rsidRPr="00FC417E">
        <w:rPr>
          <w:rFonts w:ascii="Arial" w:hAnsi="Arial" w:cs="Arial"/>
        </w:rPr>
        <w:t>CESCF</w:t>
      </w:r>
      <w:proofErr w:type="spellEnd"/>
      <w:r w:rsidRPr="00FC417E">
        <w:rPr>
          <w:rFonts w:ascii="Arial" w:hAnsi="Arial" w:cs="Arial"/>
        </w:rPr>
        <w:t xml:space="preserve"> grant funds, and (b) parcels proposed for acquisition to serve as non-Federal cost share. </w:t>
      </w:r>
    </w:p>
    <w:p w:rsidR="00AD674E" w:rsidRDefault="00AD674E">
      <w:bookmarkStart w:id="0" w:name="_GoBack"/>
      <w:bookmarkEnd w:id="0"/>
    </w:p>
    <w:sectPr w:rsidR="00AD67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9E8" w:rsidRDefault="00E359E8" w:rsidP="00E359E8">
      <w:r>
        <w:separator/>
      </w:r>
    </w:p>
  </w:endnote>
  <w:endnote w:type="continuationSeparator" w:id="0">
    <w:p w:rsidR="00E359E8" w:rsidRDefault="00E359E8" w:rsidP="00E3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9E8" w:rsidRDefault="00E359E8" w:rsidP="00E359E8">
      <w:r>
        <w:separator/>
      </w:r>
    </w:p>
  </w:footnote>
  <w:footnote w:type="continuationSeparator" w:id="0">
    <w:p w:rsidR="00E359E8" w:rsidRDefault="00E359E8" w:rsidP="00E35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B535D"/>
    <w:multiLevelType w:val="hybridMultilevel"/>
    <w:tmpl w:val="9F10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E8"/>
    <w:rsid w:val="00AD674E"/>
    <w:rsid w:val="00E3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5A3A8-0F5D-45F2-923F-35E67E81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9E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Alina@Wildlife</dc:creator>
  <cp:keywords/>
  <dc:description/>
  <cp:lastModifiedBy>Ibarra, Alina@Wildlife</cp:lastModifiedBy>
  <cp:revision>1</cp:revision>
  <dcterms:created xsi:type="dcterms:W3CDTF">2019-03-20T22:55:00Z</dcterms:created>
  <dcterms:modified xsi:type="dcterms:W3CDTF">2019-03-20T22:56:00Z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Alina.Ibarra@Wildlife.ca.gov</vt:lpwstr>
  </property>
  <property fmtid="{D5CDD505-2E9C-101B-9397-08002B2CF9AE}" pid="5" name="MSIP_Label_6e685f86-ed8d-482b-be3a-2b7af73f9b7f_SetDate">
    <vt:lpwstr>2019-03-20T22:55:40.2380741Z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