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A5F1" w14:textId="77777777" w:rsidR="004607D6" w:rsidRPr="00D33052" w:rsidRDefault="004607D6" w:rsidP="004607D6">
      <w:pPr>
        <w:spacing w:after="0"/>
        <w:jc w:val="center"/>
        <w:rPr>
          <w:b/>
          <w:bCs/>
        </w:rPr>
      </w:pPr>
      <w:r w:rsidRPr="00D33052">
        <w:rPr>
          <w:b/>
          <w:bCs/>
        </w:rPr>
        <w:t>State of California</w:t>
      </w:r>
    </w:p>
    <w:p w14:paraId="4F8818A5" w14:textId="77777777" w:rsidR="004607D6" w:rsidRDefault="004607D6" w:rsidP="004607D6">
      <w:pPr>
        <w:spacing w:after="0"/>
        <w:jc w:val="center"/>
        <w:rPr>
          <w:b/>
          <w:bCs/>
        </w:rPr>
      </w:pPr>
      <w:r w:rsidRPr="00D33052">
        <w:rPr>
          <w:b/>
          <w:bCs/>
        </w:rPr>
        <w:t>Natural Resources Agency</w:t>
      </w:r>
    </w:p>
    <w:p w14:paraId="332642CA" w14:textId="77777777" w:rsidR="004607D6" w:rsidRDefault="004607D6" w:rsidP="004607D6">
      <w:pPr>
        <w:spacing w:after="0"/>
        <w:jc w:val="center"/>
        <w:rPr>
          <w:b/>
          <w:bCs/>
        </w:rPr>
      </w:pPr>
      <w:r w:rsidRPr="00D33052">
        <w:rPr>
          <w:b/>
          <w:bCs/>
        </w:rPr>
        <w:t>Department of Fish and Wildlife</w:t>
      </w:r>
    </w:p>
    <w:p w14:paraId="5DDD18D8" w14:textId="77777777" w:rsidR="004607D6" w:rsidRDefault="004607D6" w:rsidP="004607D6">
      <w:pPr>
        <w:spacing w:after="0"/>
        <w:jc w:val="center"/>
        <w:rPr>
          <w:b/>
          <w:bCs/>
        </w:rPr>
      </w:pPr>
      <w:r w:rsidRPr="00D33052">
        <w:rPr>
          <w:b/>
          <w:bCs/>
        </w:rPr>
        <w:t>Wildlife Branch</w:t>
      </w:r>
    </w:p>
    <w:p w14:paraId="060F1208" w14:textId="77777777" w:rsidR="004607D6" w:rsidRDefault="004607D6" w:rsidP="004607D6">
      <w:pPr>
        <w:jc w:val="center"/>
        <w:rPr>
          <w:b/>
          <w:bCs/>
        </w:rPr>
      </w:pPr>
    </w:p>
    <w:p w14:paraId="0B335E2E" w14:textId="77777777" w:rsidR="004607D6" w:rsidRDefault="004607D6" w:rsidP="004607D6">
      <w:pPr>
        <w:jc w:val="center"/>
        <w:rPr>
          <w:b/>
          <w:bCs/>
        </w:rPr>
      </w:pPr>
    </w:p>
    <w:p w14:paraId="4CB0B0B3" w14:textId="77777777" w:rsidR="004607D6" w:rsidRPr="00D33052" w:rsidRDefault="004607D6" w:rsidP="004607D6">
      <w:pPr>
        <w:jc w:val="center"/>
        <w:rPr>
          <w:b/>
          <w:bCs/>
        </w:rPr>
      </w:pPr>
    </w:p>
    <w:p w14:paraId="3177A064" w14:textId="4E1B0F70" w:rsidR="004607D6" w:rsidRPr="00D33052" w:rsidRDefault="00CA11CE" w:rsidP="004607D6">
      <w:pPr>
        <w:jc w:val="center"/>
      </w:pPr>
      <w:r>
        <w:t>July</w:t>
      </w:r>
      <w:r w:rsidR="004607D6" w:rsidRPr="00D33052">
        <w:t xml:space="preserve"> 202</w:t>
      </w:r>
      <w:r>
        <w:t>5</w:t>
      </w:r>
      <w:r w:rsidR="004607D6" w:rsidRPr="00D33052">
        <w:t xml:space="preserve"> Meeting Notes for</w:t>
      </w:r>
    </w:p>
    <w:p w14:paraId="5550DC3E" w14:textId="77777777" w:rsidR="004607D6" w:rsidRDefault="004607D6" w:rsidP="004607D6">
      <w:pPr>
        <w:jc w:val="center"/>
      </w:pPr>
      <w:r w:rsidRPr="00D33052">
        <w:t>Multi-Agency Monarch and Pollinator Collaborative</w:t>
      </w:r>
    </w:p>
    <w:p w14:paraId="1A1E0E0B" w14:textId="77777777" w:rsidR="004607D6" w:rsidRDefault="004607D6" w:rsidP="004607D6">
      <w:pPr>
        <w:jc w:val="center"/>
      </w:pPr>
    </w:p>
    <w:p w14:paraId="0E0D7578" w14:textId="77777777" w:rsidR="004607D6" w:rsidRDefault="004607D6" w:rsidP="004607D6">
      <w:pPr>
        <w:jc w:val="center"/>
      </w:pPr>
    </w:p>
    <w:p w14:paraId="35603C49" w14:textId="77777777" w:rsidR="004607D6" w:rsidRDefault="004607D6" w:rsidP="004607D6">
      <w:pPr>
        <w:jc w:val="center"/>
      </w:pPr>
    </w:p>
    <w:p w14:paraId="47F57F21" w14:textId="77777777" w:rsidR="004607D6" w:rsidRDefault="004607D6" w:rsidP="004607D6">
      <w:pPr>
        <w:jc w:val="center"/>
      </w:pPr>
    </w:p>
    <w:p w14:paraId="301B0130" w14:textId="77777777" w:rsidR="004607D6" w:rsidRDefault="004607D6" w:rsidP="004607D6">
      <w:pPr>
        <w:jc w:val="center"/>
      </w:pPr>
    </w:p>
    <w:p w14:paraId="17094D01" w14:textId="77777777" w:rsidR="004607D6" w:rsidRDefault="004607D6" w:rsidP="004607D6">
      <w:pPr>
        <w:jc w:val="center"/>
      </w:pPr>
    </w:p>
    <w:p w14:paraId="5ADBEC8A" w14:textId="77777777" w:rsidR="004607D6" w:rsidRDefault="004607D6" w:rsidP="004607D6">
      <w:pPr>
        <w:jc w:val="center"/>
      </w:pPr>
    </w:p>
    <w:p w14:paraId="420E476B" w14:textId="77777777" w:rsidR="004607D6" w:rsidRDefault="004607D6" w:rsidP="004607D6">
      <w:pPr>
        <w:jc w:val="center"/>
      </w:pPr>
    </w:p>
    <w:p w14:paraId="38D6B32E" w14:textId="77777777" w:rsidR="004607D6" w:rsidRDefault="004607D6" w:rsidP="004607D6">
      <w:pPr>
        <w:jc w:val="center"/>
      </w:pPr>
    </w:p>
    <w:p w14:paraId="1FA4C75A" w14:textId="77777777" w:rsidR="004607D6" w:rsidRDefault="004607D6" w:rsidP="004607D6">
      <w:pPr>
        <w:jc w:val="center"/>
      </w:pPr>
    </w:p>
    <w:p w14:paraId="0F8080CB" w14:textId="77777777" w:rsidR="004607D6" w:rsidRDefault="004607D6" w:rsidP="004607D6">
      <w:pPr>
        <w:jc w:val="center"/>
      </w:pPr>
    </w:p>
    <w:p w14:paraId="4FD9AEF5" w14:textId="77777777" w:rsidR="004607D6" w:rsidRDefault="004607D6" w:rsidP="004607D6">
      <w:pPr>
        <w:jc w:val="center"/>
      </w:pPr>
    </w:p>
    <w:p w14:paraId="6D19C438" w14:textId="77777777" w:rsidR="004607D6" w:rsidRDefault="004607D6" w:rsidP="004607D6">
      <w:pPr>
        <w:jc w:val="center"/>
      </w:pPr>
    </w:p>
    <w:p w14:paraId="108982AC" w14:textId="77777777" w:rsidR="004607D6" w:rsidRDefault="004607D6" w:rsidP="004607D6">
      <w:pPr>
        <w:jc w:val="center"/>
      </w:pPr>
    </w:p>
    <w:p w14:paraId="0666AA60" w14:textId="77777777" w:rsidR="004607D6" w:rsidRDefault="004607D6" w:rsidP="004607D6">
      <w:pPr>
        <w:jc w:val="center"/>
      </w:pPr>
    </w:p>
    <w:p w14:paraId="2BA2C698" w14:textId="77777777" w:rsidR="004607D6" w:rsidRDefault="004607D6" w:rsidP="004607D6">
      <w:pPr>
        <w:jc w:val="center"/>
      </w:pPr>
    </w:p>
    <w:p w14:paraId="1EA98505" w14:textId="77777777" w:rsidR="004607D6" w:rsidRDefault="004607D6" w:rsidP="004607D6">
      <w:pPr>
        <w:pBdr>
          <w:bottom w:val="single" w:sz="6" w:space="1" w:color="auto"/>
        </w:pBdr>
        <w:jc w:val="center"/>
      </w:pPr>
    </w:p>
    <w:p w14:paraId="6860D573" w14:textId="1D618BB1" w:rsidR="004607D6" w:rsidRDefault="004607D6" w:rsidP="004607D6">
      <w:pPr>
        <w:jc w:val="center"/>
        <w:rPr>
          <w:b/>
          <w:bCs/>
        </w:rPr>
      </w:pPr>
      <w:r w:rsidRPr="00D33052">
        <w:rPr>
          <w:b/>
          <w:bCs/>
        </w:rPr>
        <w:t>Wildlife Diversity Program, 202</w:t>
      </w:r>
      <w:r w:rsidR="00A46539">
        <w:rPr>
          <w:b/>
          <w:bCs/>
        </w:rPr>
        <w:t>6</w:t>
      </w:r>
      <w:r w:rsidRPr="00D33052">
        <w:rPr>
          <w:b/>
          <w:bCs/>
        </w:rPr>
        <w:t>-0</w:t>
      </w:r>
      <w:r w:rsidR="002155E7">
        <w:rPr>
          <w:b/>
          <w:bCs/>
        </w:rPr>
        <w:t>3</w:t>
      </w:r>
    </w:p>
    <w:p w14:paraId="65E9854D" w14:textId="77777777" w:rsidR="004607D6" w:rsidRDefault="004607D6" w:rsidP="004607D6">
      <w:pPr>
        <w:pStyle w:val="Heading1"/>
      </w:pPr>
      <w:r w:rsidRPr="00BF02C9">
        <w:lastRenderedPageBreak/>
        <w:t>M</w:t>
      </w:r>
      <w:r>
        <w:t>onarch Multi-Agency Collaborative, Management Oversight Group</w:t>
      </w:r>
      <w:r w:rsidRPr="00BF02C9">
        <w:t xml:space="preserve"> </w:t>
      </w:r>
      <w:r>
        <w:t>(MOG)</w:t>
      </w:r>
    </w:p>
    <w:p w14:paraId="4AABC3B9" w14:textId="5B5A0848" w:rsidR="004607D6" w:rsidRPr="00357FEC" w:rsidRDefault="00CA11CE" w:rsidP="004607D6">
      <w:pPr>
        <w:rPr>
          <w:b/>
          <w:bCs/>
          <w:i/>
          <w:iCs/>
        </w:rPr>
      </w:pPr>
      <w:r>
        <w:rPr>
          <w:b/>
          <w:bCs/>
          <w:i/>
          <w:iCs/>
        </w:rPr>
        <w:t>July</w:t>
      </w:r>
      <w:r w:rsidR="004607D6" w:rsidRPr="00357FEC">
        <w:rPr>
          <w:b/>
          <w:bCs/>
          <w:i/>
          <w:iCs/>
        </w:rPr>
        <w:t xml:space="preserve"> 2</w:t>
      </w:r>
      <w:r w:rsidR="004607D6">
        <w:rPr>
          <w:b/>
          <w:bCs/>
          <w:i/>
          <w:iCs/>
        </w:rPr>
        <w:t>2</w:t>
      </w:r>
      <w:r w:rsidR="004607D6" w:rsidRPr="00357FEC">
        <w:rPr>
          <w:b/>
          <w:bCs/>
          <w:i/>
          <w:iCs/>
        </w:rPr>
        <w:t>, 202</w:t>
      </w:r>
      <w:r w:rsidR="002155E7">
        <w:rPr>
          <w:b/>
          <w:bCs/>
          <w:i/>
          <w:iCs/>
        </w:rPr>
        <w:t>5</w:t>
      </w:r>
      <w:r w:rsidR="004607D6" w:rsidRPr="00357FEC">
        <w:rPr>
          <w:b/>
          <w:bCs/>
          <w:i/>
          <w:iCs/>
        </w:rPr>
        <w:t>, 9 – 10:30 am</w:t>
      </w:r>
    </w:p>
    <w:p w14:paraId="3A806780" w14:textId="3B678657" w:rsidR="004607D6" w:rsidRDefault="004607D6" w:rsidP="004607D6">
      <w:pPr>
        <w:spacing w:after="0"/>
      </w:pPr>
      <w:r w:rsidRPr="00357FEC">
        <w:rPr>
          <w:b/>
          <w:bCs/>
        </w:rPr>
        <w:t>Attendees:</w:t>
      </w:r>
      <w:r>
        <w:t xml:space="preserve">  Dan Applebee (CDFW), Brigitte Tafarella (CDPR), Patricia Bohls, Ryan Bourbour (CDFW), Hillary Sardiñas (CDFW), Julea Shaw (CDFW), Scott Gardner (CDFW), Hayley Pechner (WBC), Alicia Torregrosa (USGS), Kimiora Ward (CDFW), Ron Melcer (State Parks), Pete Figura (CDFW), Krista Hoffman (CDFW), Rebecca Fris (WCB), Luz Quinnell (Caltrans), Jill Townzen (CDPR), Colleen Grant (USFWS), Melissa Burns (USFWS), Katariina Tuovinen (NPS), Rachel Pausch (CCC), Darrin Thome (USGS)</w:t>
      </w:r>
    </w:p>
    <w:p w14:paraId="6B0F646D" w14:textId="77777777" w:rsidR="004607D6" w:rsidRPr="00A91B82" w:rsidRDefault="004607D6" w:rsidP="004607D6">
      <w:pPr>
        <w:spacing w:after="0"/>
        <w:rPr>
          <w:sz w:val="12"/>
          <w:szCs w:val="12"/>
        </w:rPr>
      </w:pPr>
    </w:p>
    <w:p w14:paraId="488C9C03" w14:textId="77777777" w:rsidR="004607D6" w:rsidRDefault="004607D6" w:rsidP="004607D6">
      <w:r w:rsidRPr="00357FEC">
        <w:rPr>
          <w:b/>
          <w:bCs/>
        </w:rPr>
        <w:t>Facilitators:</w:t>
      </w:r>
      <w:r>
        <w:t xml:space="preserve"> Scott Gardner (CDFW), Hillary Sardiñas (CDFW)</w:t>
      </w:r>
    </w:p>
    <w:p w14:paraId="554A0704" w14:textId="77777777" w:rsidR="004607D6" w:rsidRDefault="004607D6" w:rsidP="004607D6">
      <w:r w:rsidRPr="00357FEC">
        <w:rPr>
          <w:b/>
          <w:bCs/>
        </w:rPr>
        <w:t>Notetaker:</w:t>
      </w:r>
      <w:r>
        <w:t xml:space="preserve"> Julea Shaw (CDFW)</w:t>
      </w:r>
    </w:p>
    <w:p w14:paraId="13FBFBD3" w14:textId="77777777" w:rsidR="004607D6" w:rsidRDefault="004607D6" w:rsidP="004607D6">
      <w:pPr>
        <w:spacing w:after="0"/>
      </w:pPr>
    </w:p>
    <w:p w14:paraId="44F87930" w14:textId="77777777" w:rsidR="004607D6" w:rsidRPr="00BF02C9" w:rsidRDefault="004607D6" w:rsidP="004607D6">
      <w:pPr>
        <w:pStyle w:val="Heading2"/>
      </w:pPr>
      <w:r w:rsidRPr="00BF02C9">
        <w:t>Announcement</w:t>
      </w:r>
      <w:r>
        <w:t>s</w:t>
      </w:r>
    </w:p>
    <w:p w14:paraId="5424C70F" w14:textId="5CE0F0EC" w:rsidR="004607D6" w:rsidRDefault="004607D6" w:rsidP="004607D6">
      <w:pPr>
        <w:pStyle w:val="ListParagraph"/>
        <w:numPr>
          <w:ilvl w:val="0"/>
          <w:numId w:val="13"/>
        </w:numPr>
      </w:pPr>
      <w:r>
        <w:t xml:space="preserve">Adam Johnson: Changes to USFWS Science Applications program led to staff moving to other programs within agency. Also in process of determining whether the National Pollinator Center will continue to function. Despite pollinators remain a priority for Region 8 and USFWS is moving ahead with CBA with ag producers in CA. </w:t>
      </w:r>
    </w:p>
    <w:p w14:paraId="706C4C10" w14:textId="565F1A02" w:rsidR="00CA11CE" w:rsidRDefault="00CA11CE" w:rsidP="00CA11CE">
      <w:pPr>
        <w:pStyle w:val="ListParagraph"/>
        <w:numPr>
          <w:ilvl w:val="0"/>
          <w:numId w:val="13"/>
        </w:numPr>
      </w:pPr>
      <w:r>
        <w:t xml:space="preserve">USGS just published their Pollinator Research Priority Report: </w:t>
      </w:r>
      <w:hyperlink r:id="rId5" w:history="1">
        <w:r w:rsidRPr="00291011">
          <w:rPr>
            <w:rStyle w:val="Hyperlink"/>
          </w:rPr>
          <w:t>https://www.usgs.gov/publications/us-geological-survey-pollinator-science-strategy-2025-35-a-review-and-look-forward</w:t>
        </w:r>
      </w:hyperlink>
    </w:p>
    <w:p w14:paraId="3784D6FE" w14:textId="7CD67042" w:rsidR="004607D6" w:rsidRDefault="004607D6" w:rsidP="004607D6">
      <w:pPr>
        <w:pStyle w:val="Heading2"/>
      </w:pPr>
      <w:r w:rsidRPr="00E775C9">
        <w:t>Logo selection and next steps</w:t>
      </w:r>
      <w:r>
        <w:t xml:space="preserve"> </w:t>
      </w:r>
    </w:p>
    <w:p w14:paraId="3768882B" w14:textId="7441C196" w:rsidR="004607D6" w:rsidRDefault="004607D6" w:rsidP="004607D6">
      <w:r>
        <w:t>11/13 votes total for this design (winner):</w:t>
      </w:r>
    </w:p>
    <w:p w14:paraId="306CFD3E" w14:textId="07753B17" w:rsidR="004607D6" w:rsidRDefault="004607D6" w:rsidP="004607D6">
      <w:r>
        <w:rPr>
          <w:noProof/>
        </w:rPr>
        <w:drawing>
          <wp:inline distT="0" distB="0" distL="0" distR="0" wp14:anchorId="56E8BC09" wp14:editId="4C5E5335">
            <wp:extent cx="2743200" cy="1828800"/>
            <wp:effectExtent l="0" t="0" r="0" b="0"/>
            <wp:docPr id="999578064" name="Picture 1" descr="A picture containing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78064" name="Picture 1" descr="A picture containing window&#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p w14:paraId="603C0EA2" w14:textId="2DFA1C5E" w:rsidR="004607D6" w:rsidRDefault="004607D6" w:rsidP="004607D6">
      <w:r>
        <w:t>The circle below will be the alternate logo for stickers, presentations, etc.</w:t>
      </w:r>
    </w:p>
    <w:p w14:paraId="3DB6ED68" w14:textId="175DFE57" w:rsidR="004607D6" w:rsidRPr="004607D6" w:rsidRDefault="004607D6" w:rsidP="004607D6">
      <w:r>
        <w:lastRenderedPageBreak/>
        <w:t xml:space="preserve"> </w:t>
      </w:r>
      <w:r>
        <w:rPr>
          <w:noProof/>
        </w:rPr>
        <w:drawing>
          <wp:inline distT="0" distB="0" distL="0" distR="0" wp14:anchorId="5D8FAFA3" wp14:editId="59AAE9ED">
            <wp:extent cx="2743200" cy="2743200"/>
            <wp:effectExtent l="0" t="0" r="0" b="0"/>
            <wp:docPr id="1889779983"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79983" name="Picture 2" descr="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088D02FB" w14:textId="015D8C27" w:rsidR="004607D6" w:rsidRDefault="004607D6" w:rsidP="004607D6">
      <w:pPr>
        <w:pStyle w:val="Heading2"/>
      </w:pPr>
      <w:r w:rsidRPr="00E775C9">
        <w:t xml:space="preserve">TAC </w:t>
      </w:r>
      <w:r>
        <w:t xml:space="preserve">format </w:t>
      </w:r>
      <w:r w:rsidRPr="00E775C9">
        <w:t xml:space="preserve">going forward </w:t>
      </w:r>
    </w:p>
    <w:p w14:paraId="692A564B" w14:textId="77777777" w:rsidR="004607D6" w:rsidRDefault="004607D6" w:rsidP="004607D6">
      <w:pPr>
        <w:pStyle w:val="ListParagraph"/>
        <w:numPr>
          <w:ilvl w:val="0"/>
          <w:numId w:val="15"/>
        </w:numPr>
      </w:pPr>
      <w:r>
        <w:t>Instead of separate working groups, TAC elected to rotate the focus of regular meetings amongst identified near-term priorities.</w:t>
      </w:r>
    </w:p>
    <w:p w14:paraId="581E9F42" w14:textId="77777777" w:rsidR="00CA11CE" w:rsidRDefault="004607D6" w:rsidP="00CA11CE">
      <w:pPr>
        <w:pStyle w:val="ListParagraph"/>
        <w:numPr>
          <w:ilvl w:val="0"/>
          <w:numId w:val="15"/>
        </w:numPr>
      </w:pPr>
      <w:r>
        <w:t xml:space="preserve">Will begin rotating facilitators and notetakers each meeting. The note-taker at the previous meeting will be the facilitator at the next. </w:t>
      </w:r>
    </w:p>
    <w:p w14:paraId="3E2A0C43" w14:textId="77777777" w:rsidR="00CA11CE" w:rsidRDefault="00CA11CE" w:rsidP="00CA11CE">
      <w:pPr>
        <w:pStyle w:val="ListParagraph"/>
      </w:pPr>
    </w:p>
    <w:p w14:paraId="272D0A19" w14:textId="77777777" w:rsidR="00CA11CE" w:rsidRDefault="00CA11CE" w:rsidP="00CA11CE">
      <w:pPr>
        <w:pStyle w:val="Heading2"/>
      </w:pPr>
      <w:r>
        <w:t>Meeting Minutes</w:t>
      </w:r>
    </w:p>
    <w:p w14:paraId="57454A88" w14:textId="77777777" w:rsidR="00CA11CE" w:rsidRPr="00D830C2" w:rsidRDefault="00CA11CE" w:rsidP="00CA11CE">
      <w:pPr>
        <w:pStyle w:val="ListParagraph"/>
        <w:numPr>
          <w:ilvl w:val="0"/>
          <w:numId w:val="16"/>
        </w:numPr>
      </w:pPr>
      <w:r>
        <w:t xml:space="preserve">Realized we forgot to provide meeting minutes for approval from past few meetings. Will cover backlog from last few meetings at next MOG meeting and make it a standing meeting agenda item for MOG. </w:t>
      </w:r>
    </w:p>
    <w:p w14:paraId="3057F6F7" w14:textId="77777777" w:rsidR="00CA11CE" w:rsidRDefault="00CA11CE" w:rsidP="00CA11CE">
      <w:pPr>
        <w:pStyle w:val="Heading2"/>
      </w:pPr>
      <w:r w:rsidRPr="00E775C9">
        <w:t>Report</w:t>
      </w:r>
      <w:r>
        <w:t>- Review Comments and Next Steps</w:t>
      </w:r>
    </w:p>
    <w:p w14:paraId="0409601F" w14:textId="77777777" w:rsidR="00CA11CE" w:rsidRDefault="00CA11CE" w:rsidP="00CA11CE">
      <w:pPr>
        <w:pStyle w:val="ListParagraph"/>
        <w:numPr>
          <w:ilvl w:val="0"/>
          <w:numId w:val="16"/>
        </w:numPr>
      </w:pPr>
      <w:r>
        <w:t xml:space="preserve">Reviewed all comments provided by MOG and TAC members provided comments on draft report and made determinations. </w:t>
      </w:r>
    </w:p>
    <w:p w14:paraId="60849F96" w14:textId="3B62E483" w:rsidR="00CA11CE" w:rsidRDefault="00CA11CE" w:rsidP="00CA11CE">
      <w:pPr>
        <w:pStyle w:val="ListParagraph"/>
        <w:numPr>
          <w:ilvl w:val="0"/>
          <w:numId w:val="16"/>
        </w:numPr>
      </w:pPr>
      <w:r>
        <w:t>Set deadline for final edits: Friday, August 18</w:t>
      </w:r>
      <w:r w:rsidRPr="00CA11CE">
        <w:rPr>
          <w:vertAlign w:val="superscript"/>
        </w:rPr>
        <w:t>th</w:t>
      </w:r>
      <w:r>
        <w:t xml:space="preserve">; </w:t>
      </w:r>
      <w:r w:rsidRPr="00741BD1">
        <w:t xml:space="preserve">MOG members will aim for </w:t>
      </w:r>
      <w:r w:rsidRPr="00CA11CE">
        <w:t>approval from their agencies by Oct 28</w:t>
      </w:r>
      <w:r w:rsidRPr="00CA11CE">
        <w:rPr>
          <w:vertAlign w:val="superscript"/>
        </w:rPr>
        <w:t>th</w:t>
      </w:r>
      <w:r w:rsidRPr="00CA11CE">
        <w:t xml:space="preserve"> MOG meeting</w:t>
      </w:r>
      <w:r>
        <w:t>.</w:t>
      </w:r>
    </w:p>
    <w:p w14:paraId="5AEB3719" w14:textId="636E6251" w:rsidR="00CA11CE" w:rsidRDefault="00CA11CE" w:rsidP="00CA11CE">
      <w:pPr>
        <w:pStyle w:val="ListParagraph"/>
        <w:numPr>
          <w:ilvl w:val="0"/>
          <w:numId w:val="5"/>
        </w:numPr>
      </w:pPr>
      <w:r>
        <w:t xml:space="preserve">CDFW OCEO staff will do all formatting, including cover and conceptual model. </w:t>
      </w:r>
    </w:p>
    <w:p w14:paraId="26456BE2" w14:textId="77777777" w:rsidR="00CA11CE" w:rsidRDefault="00CA11CE" w:rsidP="00CA11CE">
      <w:pPr>
        <w:pStyle w:val="ListParagraph"/>
        <w:numPr>
          <w:ilvl w:val="0"/>
          <w:numId w:val="5"/>
        </w:numPr>
      </w:pPr>
      <w:r>
        <w:t>TAC unanimously decided to keep actions related to other pollinators in via vote. We added justification language in section and intro to make a stronger case for these non-monarch actions.</w:t>
      </w:r>
    </w:p>
    <w:p w14:paraId="55887B99" w14:textId="74579A8D" w:rsidR="00CA11CE" w:rsidRPr="00CA11CE" w:rsidRDefault="00CA11CE" w:rsidP="00CA11CE">
      <w:pPr>
        <w:pStyle w:val="ListParagraph"/>
        <w:numPr>
          <w:ilvl w:val="0"/>
          <w:numId w:val="5"/>
        </w:numPr>
      </w:pPr>
      <w:r>
        <w:t xml:space="preserve">Ideal timeline for publication: </w:t>
      </w:r>
      <w:r w:rsidRPr="00741BD1">
        <w:t>Final approval of formatted report at January 27</w:t>
      </w:r>
      <w:r w:rsidRPr="00CA11CE">
        <w:rPr>
          <w:vertAlign w:val="superscript"/>
        </w:rPr>
        <w:t>th</w:t>
      </w:r>
      <w:r w:rsidRPr="00741BD1">
        <w:t xml:space="preserve"> MOG meeting so it can be disseminated</w:t>
      </w:r>
      <w:r>
        <w:t xml:space="preserve"> in February, after monarch overwintering count numbers are published.</w:t>
      </w:r>
    </w:p>
    <w:p w14:paraId="2EE5D29D" w14:textId="781D836C" w:rsidR="004607D6" w:rsidRPr="00A1620E" w:rsidRDefault="00CA11CE" w:rsidP="004607D6">
      <w:pPr>
        <w:pStyle w:val="Heading2"/>
      </w:pPr>
      <w:r>
        <w:lastRenderedPageBreak/>
        <w:t>Rescheduling December</w:t>
      </w:r>
      <w:r w:rsidR="004607D6" w:rsidRPr="00A1620E">
        <w:t xml:space="preserve"> </w:t>
      </w:r>
      <w:r>
        <w:t>Meeting</w:t>
      </w:r>
    </w:p>
    <w:p w14:paraId="405079F1" w14:textId="4D40BFC1" w:rsidR="00CA11CE" w:rsidRDefault="00CA11CE" w:rsidP="00CA11CE">
      <w:pPr>
        <w:pStyle w:val="ListParagraph"/>
        <w:numPr>
          <w:ilvl w:val="0"/>
          <w:numId w:val="6"/>
        </w:numPr>
      </w:pPr>
      <w:r>
        <w:t>Would have fallen Dec 23</w:t>
      </w:r>
      <w:r w:rsidRPr="00A261DA">
        <w:rPr>
          <w:vertAlign w:val="superscript"/>
        </w:rPr>
        <w:t>rd</w:t>
      </w:r>
      <w:r>
        <w:t xml:space="preserve"> – rescheduled to January 27th </w:t>
      </w:r>
    </w:p>
    <w:p w14:paraId="79C784E1" w14:textId="77777777" w:rsidR="004607D6" w:rsidRDefault="004607D6" w:rsidP="004607D6">
      <w:pPr>
        <w:pStyle w:val="Heading1"/>
      </w:pPr>
    </w:p>
    <w:p w14:paraId="7EE00A00" w14:textId="77777777" w:rsidR="004607D6" w:rsidRDefault="004607D6" w:rsidP="004607D6"/>
    <w:p w14:paraId="73EC8CFF" w14:textId="77777777" w:rsidR="004607D6" w:rsidRPr="00E775C9" w:rsidRDefault="004607D6" w:rsidP="004607D6"/>
    <w:p w14:paraId="54E9FB29" w14:textId="77777777" w:rsidR="004607D6" w:rsidRDefault="004607D6" w:rsidP="004607D6"/>
    <w:p w14:paraId="6A527A92" w14:textId="77777777" w:rsidR="004607D6" w:rsidRDefault="004607D6"/>
    <w:sectPr w:rsidR="00460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CD6"/>
    <w:multiLevelType w:val="hybridMultilevel"/>
    <w:tmpl w:val="0C405820"/>
    <w:lvl w:ilvl="0" w:tplc="2BCCA18C">
      <w:start w:val="1"/>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6455D2"/>
    <w:multiLevelType w:val="hybridMultilevel"/>
    <w:tmpl w:val="32AA1BC6"/>
    <w:lvl w:ilvl="0" w:tplc="2BCCA18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22A18"/>
    <w:multiLevelType w:val="hybridMultilevel"/>
    <w:tmpl w:val="C7860540"/>
    <w:lvl w:ilvl="0" w:tplc="2BCCA18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C07A0"/>
    <w:multiLevelType w:val="hybridMultilevel"/>
    <w:tmpl w:val="6A98B7CE"/>
    <w:lvl w:ilvl="0" w:tplc="7938F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C7C7D"/>
    <w:multiLevelType w:val="hybridMultilevel"/>
    <w:tmpl w:val="4B626A56"/>
    <w:lvl w:ilvl="0" w:tplc="2BCCA18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60E14"/>
    <w:multiLevelType w:val="hybridMultilevel"/>
    <w:tmpl w:val="B02AEC4E"/>
    <w:lvl w:ilvl="0" w:tplc="2BCCA18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E7F0B"/>
    <w:multiLevelType w:val="hybridMultilevel"/>
    <w:tmpl w:val="858CD26C"/>
    <w:lvl w:ilvl="0" w:tplc="7938F690">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407214"/>
    <w:multiLevelType w:val="hybridMultilevel"/>
    <w:tmpl w:val="8FD66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9671F"/>
    <w:multiLevelType w:val="hybridMultilevel"/>
    <w:tmpl w:val="E0607A38"/>
    <w:lvl w:ilvl="0" w:tplc="2BCCA18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4C4461"/>
    <w:multiLevelType w:val="hybridMultilevel"/>
    <w:tmpl w:val="91DC1BD8"/>
    <w:lvl w:ilvl="0" w:tplc="36DAC6D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26F04"/>
    <w:multiLevelType w:val="hybridMultilevel"/>
    <w:tmpl w:val="998A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B127F"/>
    <w:multiLevelType w:val="hybridMultilevel"/>
    <w:tmpl w:val="93940DDA"/>
    <w:lvl w:ilvl="0" w:tplc="36DAC6D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85800"/>
    <w:multiLevelType w:val="hybridMultilevel"/>
    <w:tmpl w:val="8034E89C"/>
    <w:lvl w:ilvl="0" w:tplc="7938F69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3D7F57"/>
    <w:multiLevelType w:val="hybridMultilevel"/>
    <w:tmpl w:val="66C872BC"/>
    <w:lvl w:ilvl="0" w:tplc="7938F69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D3F8F"/>
    <w:multiLevelType w:val="hybridMultilevel"/>
    <w:tmpl w:val="45DA39A4"/>
    <w:lvl w:ilvl="0" w:tplc="36DAC6D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421432">
    <w:abstractNumId w:val="0"/>
  </w:num>
  <w:num w:numId="2" w16cid:durableId="1525752444">
    <w:abstractNumId w:val="5"/>
  </w:num>
  <w:num w:numId="3" w16cid:durableId="2130010742">
    <w:abstractNumId w:val="1"/>
  </w:num>
  <w:num w:numId="4" w16cid:durableId="1141194702">
    <w:abstractNumId w:val="2"/>
  </w:num>
  <w:num w:numId="5" w16cid:durableId="349720079">
    <w:abstractNumId w:val="8"/>
  </w:num>
  <w:num w:numId="6" w16cid:durableId="1197425304">
    <w:abstractNumId w:val="4"/>
  </w:num>
  <w:num w:numId="7" w16cid:durableId="1476991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128079">
    <w:abstractNumId w:val="12"/>
  </w:num>
  <w:num w:numId="9" w16cid:durableId="345056373">
    <w:abstractNumId w:val="6"/>
  </w:num>
  <w:num w:numId="10" w16cid:durableId="976449442">
    <w:abstractNumId w:val="13"/>
  </w:num>
  <w:num w:numId="11" w16cid:durableId="577206343">
    <w:abstractNumId w:val="3"/>
  </w:num>
  <w:num w:numId="12" w16cid:durableId="410390107">
    <w:abstractNumId w:val="7"/>
  </w:num>
  <w:num w:numId="13" w16cid:durableId="1672827311">
    <w:abstractNumId w:val="10"/>
  </w:num>
  <w:num w:numId="14" w16cid:durableId="435950813">
    <w:abstractNumId w:val="9"/>
  </w:num>
  <w:num w:numId="15" w16cid:durableId="1827821659">
    <w:abstractNumId w:val="14"/>
  </w:num>
  <w:num w:numId="16" w16cid:durableId="192353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D6"/>
    <w:rsid w:val="00037B75"/>
    <w:rsid w:val="002155E7"/>
    <w:rsid w:val="004607D6"/>
    <w:rsid w:val="00885F2C"/>
    <w:rsid w:val="00A46539"/>
    <w:rsid w:val="00CA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8F18"/>
  <w15:chartTrackingRefBased/>
  <w15:docId w15:val="{CB0702EA-B87E-4E8B-9E72-542A75EB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7D6"/>
  </w:style>
  <w:style w:type="paragraph" w:styleId="Heading1">
    <w:name w:val="heading 1"/>
    <w:basedOn w:val="Normal"/>
    <w:next w:val="Normal"/>
    <w:link w:val="Heading1Char"/>
    <w:uiPriority w:val="9"/>
    <w:qFormat/>
    <w:rsid w:val="0046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0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60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60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7D6"/>
    <w:rPr>
      <w:rFonts w:eastAsiaTheme="majorEastAsia" w:cstheme="majorBidi"/>
      <w:color w:val="272727" w:themeColor="text1" w:themeTint="D8"/>
    </w:rPr>
  </w:style>
  <w:style w:type="paragraph" w:styleId="Title">
    <w:name w:val="Title"/>
    <w:basedOn w:val="Normal"/>
    <w:next w:val="Normal"/>
    <w:link w:val="TitleChar"/>
    <w:uiPriority w:val="10"/>
    <w:qFormat/>
    <w:rsid w:val="0046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7D6"/>
    <w:pPr>
      <w:spacing w:before="160"/>
      <w:jc w:val="center"/>
    </w:pPr>
    <w:rPr>
      <w:i/>
      <w:iCs/>
      <w:color w:val="404040" w:themeColor="text1" w:themeTint="BF"/>
    </w:rPr>
  </w:style>
  <w:style w:type="character" w:customStyle="1" w:styleId="QuoteChar">
    <w:name w:val="Quote Char"/>
    <w:basedOn w:val="DefaultParagraphFont"/>
    <w:link w:val="Quote"/>
    <w:uiPriority w:val="29"/>
    <w:rsid w:val="004607D6"/>
    <w:rPr>
      <w:i/>
      <w:iCs/>
      <w:color w:val="404040" w:themeColor="text1" w:themeTint="BF"/>
    </w:rPr>
  </w:style>
  <w:style w:type="paragraph" w:styleId="ListParagraph">
    <w:name w:val="List Paragraph"/>
    <w:basedOn w:val="Normal"/>
    <w:uiPriority w:val="34"/>
    <w:qFormat/>
    <w:rsid w:val="004607D6"/>
    <w:pPr>
      <w:ind w:left="720"/>
      <w:contextualSpacing/>
    </w:pPr>
  </w:style>
  <w:style w:type="character" w:styleId="IntenseEmphasis">
    <w:name w:val="Intense Emphasis"/>
    <w:basedOn w:val="DefaultParagraphFont"/>
    <w:uiPriority w:val="21"/>
    <w:qFormat/>
    <w:rsid w:val="004607D6"/>
    <w:rPr>
      <w:i/>
      <w:iCs/>
      <w:color w:val="0F4761" w:themeColor="accent1" w:themeShade="BF"/>
    </w:rPr>
  </w:style>
  <w:style w:type="paragraph" w:styleId="IntenseQuote">
    <w:name w:val="Intense Quote"/>
    <w:basedOn w:val="Normal"/>
    <w:next w:val="Normal"/>
    <w:link w:val="IntenseQuoteChar"/>
    <w:uiPriority w:val="30"/>
    <w:qFormat/>
    <w:rsid w:val="0046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7D6"/>
    <w:rPr>
      <w:i/>
      <w:iCs/>
      <w:color w:val="0F4761" w:themeColor="accent1" w:themeShade="BF"/>
    </w:rPr>
  </w:style>
  <w:style w:type="character" w:styleId="IntenseReference">
    <w:name w:val="Intense Reference"/>
    <w:basedOn w:val="DefaultParagraphFont"/>
    <w:uiPriority w:val="32"/>
    <w:qFormat/>
    <w:rsid w:val="004607D6"/>
    <w:rPr>
      <w:b/>
      <w:bCs/>
      <w:smallCaps/>
      <w:color w:val="0F4761" w:themeColor="accent1" w:themeShade="BF"/>
      <w:spacing w:val="5"/>
    </w:rPr>
  </w:style>
  <w:style w:type="character" w:styleId="Hyperlink">
    <w:name w:val="Hyperlink"/>
    <w:basedOn w:val="DefaultParagraphFont"/>
    <w:uiPriority w:val="99"/>
    <w:unhideWhenUsed/>
    <w:rsid w:val="004607D6"/>
    <w:rPr>
      <w:color w:val="467886" w:themeColor="hyperlink"/>
      <w:u w:val="single"/>
    </w:rPr>
  </w:style>
  <w:style w:type="character" w:styleId="CommentReference">
    <w:name w:val="annotation reference"/>
    <w:basedOn w:val="DefaultParagraphFont"/>
    <w:uiPriority w:val="99"/>
    <w:semiHidden/>
    <w:unhideWhenUsed/>
    <w:rsid w:val="004607D6"/>
    <w:rPr>
      <w:sz w:val="16"/>
      <w:szCs w:val="16"/>
    </w:rPr>
  </w:style>
  <w:style w:type="paragraph" w:styleId="CommentText">
    <w:name w:val="annotation text"/>
    <w:basedOn w:val="Normal"/>
    <w:link w:val="CommentTextChar"/>
    <w:uiPriority w:val="99"/>
    <w:unhideWhenUsed/>
    <w:rsid w:val="004607D6"/>
    <w:pPr>
      <w:spacing w:line="240" w:lineRule="auto"/>
    </w:pPr>
    <w:rPr>
      <w:sz w:val="20"/>
      <w:szCs w:val="20"/>
    </w:rPr>
  </w:style>
  <w:style w:type="character" w:customStyle="1" w:styleId="CommentTextChar">
    <w:name w:val="Comment Text Char"/>
    <w:basedOn w:val="DefaultParagraphFont"/>
    <w:link w:val="CommentText"/>
    <w:uiPriority w:val="99"/>
    <w:rsid w:val="004607D6"/>
    <w:rPr>
      <w:sz w:val="20"/>
      <w:szCs w:val="20"/>
    </w:rPr>
  </w:style>
  <w:style w:type="paragraph" w:styleId="CommentSubject">
    <w:name w:val="annotation subject"/>
    <w:basedOn w:val="CommentText"/>
    <w:next w:val="CommentText"/>
    <w:link w:val="CommentSubjectChar"/>
    <w:uiPriority w:val="99"/>
    <w:semiHidden/>
    <w:unhideWhenUsed/>
    <w:rsid w:val="004607D6"/>
    <w:rPr>
      <w:b/>
      <w:bCs/>
    </w:rPr>
  </w:style>
  <w:style w:type="character" w:customStyle="1" w:styleId="CommentSubjectChar">
    <w:name w:val="Comment Subject Char"/>
    <w:basedOn w:val="CommentTextChar"/>
    <w:link w:val="CommentSubject"/>
    <w:uiPriority w:val="99"/>
    <w:semiHidden/>
    <w:rsid w:val="004607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usgs.gov/publications/us-geological-survey-pollinator-science-strategy-2025-35-a-review-and-look-forwar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Sardinas, Hillary@Wildlife</dc:creator>
  <cp:keywords/>
  <dc:description/>
  <cp:lastModifiedBy>Sardinas, Hillary@Wildlife</cp:lastModifiedBy>
  <cp:revision>4</cp:revision>
  <dcterms:created xsi:type="dcterms:W3CDTF">2025-10-06T21:13:00Z</dcterms:created>
  <dcterms:modified xsi:type="dcterms:W3CDTF">2026-04-13T19:54:00Z</dcterms:modified>
</cp:coreProperties>
</file>